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484267" w14:textId="77777777" w:rsidR="00783F04" w:rsidRDefault="00783F04" w:rsidP="00783F04">
      <w:pPr>
        <w:jc w:val="center"/>
        <w:rPr>
          <w:rFonts w:ascii="Times New Roman" w:hAnsi="Times New Roman" w:cs="Times New Roman"/>
        </w:rPr>
      </w:pPr>
    </w:p>
    <w:p w14:paraId="6B211940" w14:textId="77777777" w:rsidR="00783F04" w:rsidRDefault="00783F04" w:rsidP="00783F04">
      <w:pPr>
        <w:jc w:val="center"/>
        <w:rPr>
          <w:rFonts w:ascii="Times New Roman" w:hAnsi="Times New Roman" w:cs="Times New Roman"/>
        </w:rPr>
      </w:pPr>
    </w:p>
    <w:p w14:paraId="7CD3367A" w14:textId="77777777" w:rsidR="00783F04" w:rsidRDefault="00783F04" w:rsidP="00783F04">
      <w:pPr>
        <w:jc w:val="center"/>
        <w:rPr>
          <w:rFonts w:ascii="Times New Roman" w:hAnsi="Times New Roman" w:cs="Times New Roman"/>
        </w:rPr>
      </w:pPr>
    </w:p>
    <w:p w14:paraId="55826D2F" w14:textId="77777777" w:rsidR="00783F04" w:rsidRDefault="00783F04" w:rsidP="00783F04">
      <w:pPr>
        <w:jc w:val="center"/>
        <w:rPr>
          <w:rFonts w:ascii="Times New Roman" w:hAnsi="Times New Roman" w:cs="Times New Roman"/>
        </w:rPr>
      </w:pPr>
    </w:p>
    <w:p w14:paraId="0913821F" w14:textId="4DDDEAB8" w:rsidR="00F951A5" w:rsidRDefault="00750258" w:rsidP="00783F04">
      <w:pPr>
        <w:jc w:val="center"/>
        <w:rPr>
          <w:rFonts w:ascii="Times New Roman" w:hAnsi="Times New Roman" w:cs="Times New Roman"/>
        </w:rPr>
      </w:pPr>
      <w:r w:rsidRPr="00750258">
        <w:rPr>
          <w:rFonts w:ascii="Times New Roman" w:hAnsi="Times New Roman" w:cs="Times New Roman"/>
        </w:rPr>
        <w:t>Accounting 690 Milestone Two</w:t>
      </w:r>
    </w:p>
    <w:p w14:paraId="530FF525" w14:textId="107FE6A2" w:rsidR="00783F04" w:rsidRDefault="00783F04" w:rsidP="00783F04">
      <w:pPr>
        <w:jc w:val="center"/>
        <w:rPr>
          <w:rFonts w:ascii="Times New Roman" w:hAnsi="Times New Roman" w:cs="Times New Roman"/>
        </w:rPr>
      </w:pPr>
      <w:r>
        <w:rPr>
          <w:rFonts w:ascii="Times New Roman" w:hAnsi="Times New Roman" w:cs="Times New Roman"/>
        </w:rPr>
        <w:t>[Name]</w:t>
      </w:r>
    </w:p>
    <w:p w14:paraId="1B6AD63F" w14:textId="7DD57FF6" w:rsidR="00783F04" w:rsidRDefault="00783F04" w:rsidP="00783F04">
      <w:pPr>
        <w:jc w:val="center"/>
        <w:rPr>
          <w:rFonts w:ascii="Times New Roman" w:hAnsi="Times New Roman" w:cs="Times New Roman"/>
        </w:rPr>
      </w:pPr>
      <w:r>
        <w:rPr>
          <w:rFonts w:ascii="Times New Roman" w:hAnsi="Times New Roman" w:cs="Times New Roman"/>
        </w:rPr>
        <w:t>[Institution affiliation]</w:t>
      </w:r>
    </w:p>
    <w:p w14:paraId="17D098C4" w14:textId="12B6B1E0" w:rsidR="00783F04" w:rsidRDefault="00783F04" w:rsidP="00783F04">
      <w:pPr>
        <w:jc w:val="center"/>
        <w:rPr>
          <w:rFonts w:ascii="Times New Roman" w:hAnsi="Times New Roman" w:cs="Times New Roman"/>
        </w:rPr>
      </w:pPr>
      <w:r>
        <w:rPr>
          <w:rFonts w:ascii="Times New Roman" w:hAnsi="Times New Roman" w:cs="Times New Roman"/>
        </w:rPr>
        <w:t>[Course]</w:t>
      </w:r>
    </w:p>
    <w:p w14:paraId="3FCBA812" w14:textId="7F72D16D" w:rsidR="00783F04" w:rsidRDefault="00783F04" w:rsidP="00783F04">
      <w:pPr>
        <w:jc w:val="center"/>
        <w:rPr>
          <w:rFonts w:ascii="Times New Roman" w:hAnsi="Times New Roman" w:cs="Times New Roman"/>
        </w:rPr>
      </w:pPr>
      <w:r>
        <w:rPr>
          <w:rFonts w:ascii="Times New Roman" w:hAnsi="Times New Roman" w:cs="Times New Roman"/>
        </w:rPr>
        <w:t>[Date]</w:t>
      </w:r>
    </w:p>
    <w:p w14:paraId="27056177" w14:textId="77777777" w:rsidR="00783F04" w:rsidRDefault="00783F04">
      <w:pPr>
        <w:rPr>
          <w:rFonts w:ascii="Times New Roman" w:hAnsi="Times New Roman" w:cs="Times New Roman"/>
          <w:b/>
          <w:bCs/>
        </w:rPr>
      </w:pPr>
    </w:p>
    <w:p w14:paraId="7B284130" w14:textId="77777777" w:rsidR="00783F04" w:rsidRDefault="00783F04">
      <w:pPr>
        <w:rPr>
          <w:rFonts w:ascii="Times New Roman" w:hAnsi="Times New Roman" w:cs="Times New Roman"/>
          <w:b/>
          <w:bCs/>
        </w:rPr>
      </w:pPr>
    </w:p>
    <w:p w14:paraId="56CA0465" w14:textId="77777777" w:rsidR="00783F04" w:rsidRDefault="00783F04">
      <w:pPr>
        <w:rPr>
          <w:rFonts w:ascii="Times New Roman" w:hAnsi="Times New Roman" w:cs="Times New Roman"/>
          <w:b/>
          <w:bCs/>
        </w:rPr>
      </w:pPr>
    </w:p>
    <w:p w14:paraId="6397E84E" w14:textId="77777777" w:rsidR="00783F04" w:rsidRDefault="00783F04">
      <w:pPr>
        <w:rPr>
          <w:rFonts w:ascii="Times New Roman" w:hAnsi="Times New Roman" w:cs="Times New Roman"/>
          <w:b/>
          <w:bCs/>
        </w:rPr>
      </w:pPr>
    </w:p>
    <w:p w14:paraId="0C59883C" w14:textId="77777777" w:rsidR="00783F04" w:rsidRDefault="00783F04">
      <w:pPr>
        <w:rPr>
          <w:rFonts w:ascii="Times New Roman" w:hAnsi="Times New Roman" w:cs="Times New Roman"/>
          <w:b/>
          <w:bCs/>
        </w:rPr>
      </w:pPr>
    </w:p>
    <w:p w14:paraId="6BD31C8B" w14:textId="77777777" w:rsidR="00783F04" w:rsidRDefault="00783F04">
      <w:pPr>
        <w:rPr>
          <w:rFonts w:ascii="Times New Roman" w:hAnsi="Times New Roman" w:cs="Times New Roman"/>
          <w:b/>
          <w:bCs/>
        </w:rPr>
      </w:pPr>
    </w:p>
    <w:p w14:paraId="604333A5" w14:textId="77777777" w:rsidR="00783F04" w:rsidRDefault="00783F04">
      <w:pPr>
        <w:rPr>
          <w:rFonts w:ascii="Times New Roman" w:hAnsi="Times New Roman" w:cs="Times New Roman"/>
          <w:b/>
          <w:bCs/>
        </w:rPr>
      </w:pPr>
    </w:p>
    <w:p w14:paraId="49F35D7E" w14:textId="77777777" w:rsidR="00783F04" w:rsidRDefault="00783F04">
      <w:pPr>
        <w:rPr>
          <w:rFonts w:ascii="Times New Roman" w:hAnsi="Times New Roman" w:cs="Times New Roman"/>
          <w:b/>
          <w:bCs/>
        </w:rPr>
      </w:pPr>
    </w:p>
    <w:p w14:paraId="49E82FAE" w14:textId="77777777" w:rsidR="00783F04" w:rsidRDefault="00783F04">
      <w:pPr>
        <w:rPr>
          <w:rFonts w:ascii="Times New Roman" w:hAnsi="Times New Roman" w:cs="Times New Roman"/>
          <w:b/>
          <w:bCs/>
        </w:rPr>
      </w:pPr>
    </w:p>
    <w:p w14:paraId="45044601" w14:textId="77777777" w:rsidR="00783F04" w:rsidRDefault="00783F04">
      <w:pPr>
        <w:rPr>
          <w:rFonts w:ascii="Times New Roman" w:hAnsi="Times New Roman" w:cs="Times New Roman"/>
          <w:b/>
          <w:bCs/>
        </w:rPr>
      </w:pPr>
    </w:p>
    <w:p w14:paraId="6D60E35F" w14:textId="77777777" w:rsidR="00783F04" w:rsidRDefault="00783F04">
      <w:pPr>
        <w:rPr>
          <w:rFonts w:ascii="Times New Roman" w:hAnsi="Times New Roman" w:cs="Times New Roman"/>
          <w:b/>
          <w:bCs/>
        </w:rPr>
      </w:pPr>
    </w:p>
    <w:p w14:paraId="44594855" w14:textId="77777777" w:rsidR="00783F04" w:rsidRDefault="00783F04">
      <w:pPr>
        <w:rPr>
          <w:rFonts w:ascii="Times New Roman" w:hAnsi="Times New Roman" w:cs="Times New Roman"/>
          <w:b/>
          <w:bCs/>
        </w:rPr>
      </w:pPr>
    </w:p>
    <w:p w14:paraId="0A869B34" w14:textId="77777777" w:rsidR="00783F04" w:rsidRDefault="00783F04">
      <w:pPr>
        <w:rPr>
          <w:rFonts w:ascii="Times New Roman" w:hAnsi="Times New Roman" w:cs="Times New Roman"/>
          <w:b/>
          <w:bCs/>
        </w:rPr>
      </w:pPr>
    </w:p>
    <w:p w14:paraId="447C4B09" w14:textId="77777777" w:rsidR="00783F04" w:rsidRDefault="00783F04">
      <w:pPr>
        <w:rPr>
          <w:rFonts w:ascii="Times New Roman" w:hAnsi="Times New Roman" w:cs="Times New Roman"/>
          <w:b/>
          <w:bCs/>
        </w:rPr>
      </w:pPr>
    </w:p>
    <w:p w14:paraId="0B7BEE6C" w14:textId="77777777" w:rsidR="00783F04" w:rsidRDefault="00783F04">
      <w:pPr>
        <w:rPr>
          <w:rFonts w:ascii="Times New Roman" w:hAnsi="Times New Roman" w:cs="Times New Roman"/>
          <w:b/>
          <w:bCs/>
        </w:rPr>
      </w:pPr>
    </w:p>
    <w:p w14:paraId="528F574A" w14:textId="77777777" w:rsidR="00783F04" w:rsidRDefault="00783F04">
      <w:pPr>
        <w:rPr>
          <w:rFonts w:ascii="Times New Roman" w:hAnsi="Times New Roman" w:cs="Times New Roman"/>
          <w:b/>
          <w:bCs/>
        </w:rPr>
      </w:pPr>
    </w:p>
    <w:p w14:paraId="1082FB66" w14:textId="77777777" w:rsidR="00783F04" w:rsidRDefault="00783F04">
      <w:pPr>
        <w:rPr>
          <w:rFonts w:ascii="Times New Roman" w:hAnsi="Times New Roman" w:cs="Times New Roman"/>
          <w:b/>
          <w:bCs/>
        </w:rPr>
      </w:pPr>
    </w:p>
    <w:p w14:paraId="0A9A94ED" w14:textId="77777777" w:rsidR="00783F04" w:rsidRDefault="00783F04">
      <w:pPr>
        <w:rPr>
          <w:rFonts w:ascii="Times New Roman" w:hAnsi="Times New Roman" w:cs="Times New Roman"/>
          <w:b/>
          <w:bCs/>
        </w:rPr>
      </w:pPr>
    </w:p>
    <w:p w14:paraId="047870CD" w14:textId="77777777" w:rsidR="00783F04" w:rsidRDefault="00783F04">
      <w:pPr>
        <w:rPr>
          <w:rFonts w:ascii="Times New Roman" w:hAnsi="Times New Roman" w:cs="Times New Roman"/>
          <w:b/>
          <w:bCs/>
        </w:rPr>
      </w:pPr>
    </w:p>
    <w:p w14:paraId="671961F8" w14:textId="77777777" w:rsidR="00783F04" w:rsidRDefault="00783F04">
      <w:pPr>
        <w:rPr>
          <w:rFonts w:ascii="Times New Roman" w:hAnsi="Times New Roman" w:cs="Times New Roman"/>
          <w:b/>
          <w:bCs/>
        </w:rPr>
      </w:pPr>
    </w:p>
    <w:p w14:paraId="77F8DB40" w14:textId="77777777" w:rsidR="00783F04" w:rsidRDefault="00783F04">
      <w:pPr>
        <w:rPr>
          <w:rFonts w:ascii="Times New Roman" w:hAnsi="Times New Roman" w:cs="Times New Roman"/>
          <w:b/>
          <w:bCs/>
        </w:rPr>
      </w:pPr>
    </w:p>
    <w:p w14:paraId="6BD650A7" w14:textId="53D04521" w:rsidR="00750258" w:rsidRDefault="00750258" w:rsidP="00783F04">
      <w:pPr>
        <w:jc w:val="both"/>
        <w:rPr>
          <w:rFonts w:ascii="Times New Roman" w:hAnsi="Times New Roman" w:cs="Times New Roman"/>
          <w:b/>
          <w:bCs/>
        </w:rPr>
      </w:pPr>
      <w:r w:rsidRPr="00750258">
        <w:rPr>
          <w:rFonts w:ascii="Times New Roman" w:hAnsi="Times New Roman" w:cs="Times New Roman"/>
          <w:b/>
          <w:bCs/>
        </w:rPr>
        <w:lastRenderedPageBreak/>
        <w:t>Section 1: Incorporation</w:t>
      </w:r>
    </w:p>
    <w:p w14:paraId="19F97F22" w14:textId="51DB5E6C" w:rsidR="00750258" w:rsidRDefault="00750258" w:rsidP="00783F04">
      <w:pPr>
        <w:jc w:val="both"/>
        <w:rPr>
          <w:rFonts w:ascii="Times New Roman" w:hAnsi="Times New Roman" w:cs="Times New Roman"/>
          <w:b/>
          <w:bCs/>
        </w:rPr>
      </w:pPr>
      <w:r>
        <w:rPr>
          <w:rFonts w:ascii="Times New Roman" w:hAnsi="Times New Roman" w:cs="Times New Roman"/>
          <w:b/>
          <w:bCs/>
        </w:rPr>
        <w:t>PART B: The interim reporting requirement for a corporation</w:t>
      </w:r>
    </w:p>
    <w:p w14:paraId="67C223C2" w14:textId="71E4769E" w:rsidR="00E37682" w:rsidRPr="00E37682" w:rsidRDefault="00E37682" w:rsidP="00783F04">
      <w:pPr>
        <w:jc w:val="both"/>
        <w:rPr>
          <w:rFonts w:ascii="Times New Roman" w:hAnsi="Times New Roman" w:cs="Times New Roman"/>
        </w:rPr>
      </w:pPr>
      <w:r>
        <w:rPr>
          <w:rFonts w:ascii="Times New Roman" w:hAnsi="Times New Roman" w:cs="Times New Roman"/>
        </w:rPr>
        <w:t>Research shows that all the public listed firms are subjected to interim audit reporting to help all their stakeholders in understanding how they operate based on their financial positions. Therefore, an interim report is prepared as well as published quarterly, meaning that any financial year must have three interim reports</w:t>
      </w:r>
      <w:r w:rsidR="00225161">
        <w:rPr>
          <w:rFonts w:ascii="Times New Roman" w:hAnsi="Times New Roman" w:cs="Times New Roman"/>
        </w:rPr>
        <w:t xml:space="preserve"> (</w:t>
      </w:r>
      <w:r w:rsidR="00225161" w:rsidRPr="00127CCF">
        <w:rPr>
          <w:rFonts w:ascii="Times New Roman" w:hAnsi="Times New Roman" w:cs="Times New Roman"/>
        </w:rPr>
        <w:t>Bragg</w:t>
      </w:r>
      <w:r w:rsidR="00225161">
        <w:rPr>
          <w:rFonts w:ascii="Times New Roman" w:hAnsi="Times New Roman" w:cs="Times New Roman"/>
        </w:rPr>
        <w:t xml:space="preserve">, </w:t>
      </w:r>
      <w:r w:rsidR="00225161" w:rsidRPr="00127CCF">
        <w:rPr>
          <w:rFonts w:ascii="Times New Roman" w:hAnsi="Times New Roman" w:cs="Times New Roman"/>
        </w:rPr>
        <w:t xml:space="preserve">2011). </w:t>
      </w:r>
      <w:r>
        <w:rPr>
          <w:rFonts w:ascii="Times New Roman" w:hAnsi="Times New Roman" w:cs="Times New Roman"/>
        </w:rPr>
        <w:t xml:space="preserve">In other words, an interim report is often provided quarterly, with three critical financial statements: </w:t>
      </w:r>
      <w:r w:rsidR="00362A8E">
        <w:rPr>
          <w:rFonts w:ascii="Times New Roman" w:hAnsi="Times New Roman" w:cs="Times New Roman"/>
        </w:rPr>
        <w:t xml:space="preserve">the balance sheet, the income statement, and the statement of cash flow, prepared relative to the past quarter. However, all public listed organizations must issue an interim report </w:t>
      </w:r>
      <w:r w:rsidR="00CD49F8">
        <w:rPr>
          <w:rFonts w:ascii="Times New Roman" w:hAnsi="Times New Roman" w:cs="Times New Roman"/>
        </w:rPr>
        <w:t>as per the format provided by the Securities Exchange Commission (SEC) under the Generally Accepted Accounting Principles (GAAP) and the International Financial Reporting Standards (IFRS)</w:t>
      </w:r>
      <w:r w:rsidR="00225161">
        <w:rPr>
          <w:rFonts w:ascii="Times New Roman" w:hAnsi="Times New Roman" w:cs="Times New Roman"/>
        </w:rPr>
        <w:t xml:space="preserve"> (</w:t>
      </w:r>
      <w:r w:rsidR="00225161" w:rsidRPr="00127CCF">
        <w:rPr>
          <w:rFonts w:ascii="Times New Roman" w:hAnsi="Times New Roman" w:cs="Times New Roman"/>
          <w:i/>
        </w:rPr>
        <w:t>U.S. GAAP VS. IFRS</w:t>
      </w:r>
      <w:r w:rsidR="00225161">
        <w:rPr>
          <w:rFonts w:ascii="Times New Roman" w:hAnsi="Times New Roman" w:cs="Times New Roman"/>
          <w:i/>
        </w:rPr>
        <w:t xml:space="preserve">, </w:t>
      </w:r>
      <w:r w:rsidR="00225161" w:rsidRPr="00127CCF">
        <w:rPr>
          <w:rFonts w:ascii="Times New Roman" w:hAnsi="Times New Roman" w:cs="Times New Roman"/>
        </w:rPr>
        <w:t xml:space="preserve">2012). </w:t>
      </w:r>
      <w:r w:rsidR="00CD49F8">
        <w:rPr>
          <w:rFonts w:ascii="Times New Roman" w:hAnsi="Times New Roman" w:cs="Times New Roman"/>
        </w:rPr>
        <w:t xml:space="preserve">Notably, the company’s auditor does not provide any opinion on the interim report when it is being issued. The auditor only conducts a limited review. However, public listed corporations must prepare interim financial reports under the same accounting policies based on the final financial statement </w:t>
      </w:r>
      <w:r w:rsidR="003D7343">
        <w:rPr>
          <w:rFonts w:ascii="Times New Roman" w:hAnsi="Times New Roman" w:cs="Times New Roman"/>
        </w:rPr>
        <w:t>being</w:t>
      </w:r>
      <w:r w:rsidR="00CD49F8">
        <w:rPr>
          <w:rFonts w:ascii="Times New Roman" w:hAnsi="Times New Roman" w:cs="Times New Roman"/>
        </w:rPr>
        <w:t xml:space="preserve"> prepared.  </w:t>
      </w:r>
    </w:p>
    <w:p w14:paraId="57B3D5EE" w14:textId="662C5104" w:rsidR="00E37682" w:rsidRDefault="00E37682" w:rsidP="00783F04">
      <w:pPr>
        <w:pStyle w:val="NormalWeb"/>
        <w:numPr>
          <w:ilvl w:val="0"/>
          <w:numId w:val="3"/>
        </w:numPr>
        <w:jc w:val="both"/>
        <w:rPr>
          <w:b/>
        </w:rPr>
      </w:pPr>
      <w:r>
        <w:rPr>
          <w:b/>
        </w:rPr>
        <w:t>T</w:t>
      </w:r>
      <w:r w:rsidRPr="00127CCF">
        <w:rPr>
          <w:b/>
        </w:rPr>
        <w:t xml:space="preserve">he guidance related to interim financial statements under GAAP and IFRS. </w:t>
      </w:r>
    </w:p>
    <w:p w14:paraId="4D2CFC64" w14:textId="22FB50DF" w:rsidR="00E37682" w:rsidRDefault="003D7343" w:rsidP="00783F04">
      <w:pPr>
        <w:pStyle w:val="NormalWeb"/>
        <w:jc w:val="both"/>
        <w:rPr>
          <w:bCs/>
        </w:rPr>
      </w:pPr>
      <w:r>
        <w:rPr>
          <w:bCs/>
        </w:rPr>
        <w:t>Foremost, both GAAP and IFRS have relevant guidelines, whereby ASC 270 is for the former and IAS 34 for the latter, respectively</w:t>
      </w:r>
      <w:r w:rsidR="00225161">
        <w:rPr>
          <w:bCs/>
        </w:rPr>
        <w:t xml:space="preserve"> (</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&amp; Doupnik,</w:t>
      </w:r>
      <w:r w:rsidR="00225161">
        <w:rPr>
          <w:rFonts w:eastAsia="LiSong Pro Light"/>
        </w:rPr>
        <w:t xml:space="preserve"> </w:t>
      </w:r>
      <w:r w:rsidR="00225161" w:rsidRPr="00127CCF">
        <w:rPr>
          <w:rFonts w:eastAsia="LiSong Pro Light"/>
        </w:rPr>
        <w:t xml:space="preserve">2015). </w:t>
      </w:r>
      <w:r>
        <w:rPr>
          <w:bCs/>
        </w:rPr>
        <w:t xml:space="preserve">Also, both GAAP &amp; IFRS have condensed financial reporting requirements for the companies. Additionally, both </w:t>
      </w:r>
      <w:r w:rsidR="009D6F9B">
        <w:rPr>
          <w:bCs/>
        </w:rPr>
        <w:t>IFRS and GAAP are regulated by the securities exchange board. Under the GAAP, the estimated cost benefits to be received in more than an interim period must be allocated to such a period and not only considered in a single period or on the preparation of one interim report. Again, the GAAP associates and integrates one interim time to another time and also considered whole in the financial year end. On the contrary, the IFRS considers every interim period separately from the other period as well as the annual financial statements. Additionally, the IFRS requires the allocated costs top the various interim periods be matched</w:t>
      </w:r>
      <w:r w:rsidR="00225161">
        <w:rPr>
          <w:bCs/>
        </w:rPr>
        <w:t xml:space="preserve"> (</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&amp; Doupnik,</w:t>
      </w:r>
      <w:r w:rsidR="00225161">
        <w:rPr>
          <w:rFonts w:eastAsia="LiSong Pro Light"/>
        </w:rPr>
        <w:t xml:space="preserve"> </w:t>
      </w:r>
      <w:r w:rsidR="00225161" w:rsidRPr="00127CCF">
        <w:rPr>
          <w:rFonts w:eastAsia="LiSong Pro Light"/>
        </w:rPr>
        <w:t>2015).</w:t>
      </w:r>
      <w:r w:rsidR="00225161">
        <w:rPr>
          <w:rFonts w:eastAsia="LiSong Pro Light"/>
        </w:rPr>
        <w:t xml:space="preserve"> </w:t>
      </w:r>
      <w:r w:rsidR="009D6F9B">
        <w:rPr>
          <w:bCs/>
        </w:rPr>
        <w:t xml:space="preserve"> </w:t>
      </w:r>
    </w:p>
    <w:p w14:paraId="5A327EB3" w14:textId="22D3A052" w:rsidR="009D6F9B" w:rsidRPr="0015335A" w:rsidRDefault="009D6F9B" w:rsidP="00783F04">
      <w:pPr>
        <w:pStyle w:val="NormalWeb"/>
        <w:numPr>
          <w:ilvl w:val="0"/>
          <w:numId w:val="3"/>
        </w:numPr>
        <w:jc w:val="both"/>
        <w:rPr>
          <w:b/>
          <w:bCs/>
        </w:rPr>
      </w:pPr>
      <w:r w:rsidRPr="0015335A">
        <w:rPr>
          <w:b/>
          <w:bCs/>
        </w:rPr>
        <w:t>A hypothetical financial statement illustrating what that interim reporting entails.</w:t>
      </w:r>
    </w:p>
    <w:p w14:paraId="2BBA3279" w14:textId="0F864654" w:rsidR="009D6F9B" w:rsidRDefault="0015335A" w:rsidP="00783F04">
      <w:pPr>
        <w:pStyle w:val="NormalWeb"/>
        <w:jc w:val="both"/>
      </w:pPr>
      <w:r>
        <w:t>The interim report is shown in the attached excel with the three significant details: a balance sheet, income statement, and a statement of cash flow.</w:t>
      </w:r>
    </w:p>
    <w:p w14:paraId="2D44B346" w14:textId="5A4454C6" w:rsidR="0015335A" w:rsidRPr="0015335A" w:rsidRDefault="0015335A" w:rsidP="00783F04">
      <w:pPr>
        <w:pStyle w:val="NormalWeb"/>
        <w:numPr>
          <w:ilvl w:val="0"/>
          <w:numId w:val="3"/>
        </w:numPr>
        <w:jc w:val="both"/>
        <w:rPr>
          <w:b/>
          <w:bCs/>
        </w:rPr>
      </w:pPr>
      <w:r w:rsidRPr="0015335A">
        <w:rPr>
          <w:b/>
          <w:bCs/>
        </w:rPr>
        <w:t>If the interim reporting requirements are the same under GAAP and IFRS.</w:t>
      </w:r>
    </w:p>
    <w:p w14:paraId="0A752499" w14:textId="3E368B3E" w:rsidR="0015335A" w:rsidRDefault="0015335A" w:rsidP="00783F04">
      <w:pPr>
        <w:pStyle w:val="NormalWeb"/>
        <w:jc w:val="both"/>
      </w:pPr>
      <w:r>
        <w:t xml:space="preserve">Studies show that the interim reporting requirements are different under both IFRS and GAAP because of various aspects, including relevant guidance, costs allocation and tax provision as discussed in (1) above. Under the GAAP, the interim tax provisions are recorded based on the worldwide tax rates. On the contrary, the IFRS uses a separate tax rate during every jurisdiction which is also applied individually to every interim period </w:t>
      </w:r>
      <w:proofErr w:type="gramStart"/>
      <w:r>
        <w:t>results</w:t>
      </w:r>
      <w:proofErr w:type="gramEnd"/>
      <w:r w:rsidR="00225161">
        <w:t xml:space="preserve"> </w:t>
      </w:r>
      <w:r w:rsidR="00225161">
        <w:rPr>
          <w:bCs/>
        </w:rPr>
        <w:t>(</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&amp; Doupnik,</w:t>
      </w:r>
      <w:r w:rsidR="00225161">
        <w:rPr>
          <w:rFonts w:eastAsia="LiSong Pro Light"/>
        </w:rPr>
        <w:t xml:space="preserve"> </w:t>
      </w:r>
      <w:r w:rsidR="00225161" w:rsidRPr="00127CCF">
        <w:rPr>
          <w:rFonts w:eastAsia="LiSong Pro Light"/>
        </w:rPr>
        <w:t>2015).</w:t>
      </w:r>
      <w:r w:rsidR="00225161">
        <w:rPr>
          <w:rFonts w:eastAsia="LiSong Pro Light"/>
        </w:rPr>
        <w:t xml:space="preserve"> </w:t>
      </w:r>
    </w:p>
    <w:p w14:paraId="5FDDD5BB" w14:textId="3DB39284" w:rsidR="0015335A" w:rsidRDefault="0015335A" w:rsidP="00783F04">
      <w:pPr>
        <w:pStyle w:val="NormalWeb"/>
        <w:jc w:val="both"/>
        <w:rPr>
          <w:b/>
          <w:bCs/>
        </w:rPr>
      </w:pPr>
      <w:r w:rsidRPr="00D344A1">
        <w:rPr>
          <w:b/>
          <w:bCs/>
        </w:rPr>
        <w:t xml:space="preserve">PART C: </w:t>
      </w:r>
      <w:r w:rsidR="00D344A1" w:rsidRPr="00D344A1">
        <w:rPr>
          <w:b/>
          <w:bCs/>
        </w:rPr>
        <w:t>Segment Reporting</w:t>
      </w:r>
    </w:p>
    <w:p w14:paraId="2D08B1F0" w14:textId="59BC5873" w:rsidR="00D344A1" w:rsidRDefault="005167EB" w:rsidP="00783F04">
      <w:pPr>
        <w:pStyle w:val="NormalWeb"/>
        <w:jc w:val="both"/>
      </w:pPr>
      <w:r>
        <w:lastRenderedPageBreak/>
        <w:t>It is true that clients could be required to have a separate reporting for some of their busines segments if they decide incorporating. The main reason is that separate reporting is an activity Studies show that segment reporting is very helpful in terms of business activities’ engagement, especially when analyzing how the firm earns revenues and how it undergoes costs to help it consider its structure as well as its internal reporting system on its reportable segments. According to the IAS 14, th</w:t>
      </w:r>
      <w:r w:rsidR="00E93ECA">
        <w:t>e internal financial reporting segmentation should be prepared for the board of directors while the Chief Executive Officer (CEO) determines the purposes for the external financial reporting segmentation</w:t>
      </w:r>
      <w:r w:rsidR="00225161">
        <w:t xml:space="preserve"> </w:t>
      </w:r>
      <w:r w:rsidR="00225161">
        <w:rPr>
          <w:bCs/>
        </w:rPr>
        <w:t>(</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&amp; Doupnik,</w:t>
      </w:r>
      <w:r w:rsidR="00225161">
        <w:rPr>
          <w:rFonts w:eastAsia="LiSong Pro Light"/>
        </w:rPr>
        <w:t xml:space="preserve"> </w:t>
      </w:r>
      <w:r w:rsidR="00225161" w:rsidRPr="00127CCF">
        <w:rPr>
          <w:rFonts w:eastAsia="LiSong Pro Light"/>
        </w:rPr>
        <w:t>2015).</w:t>
      </w:r>
      <w:r w:rsidR="00225161">
        <w:rPr>
          <w:rFonts w:eastAsia="LiSong Pro Light"/>
        </w:rPr>
        <w:t xml:space="preserve"> </w:t>
      </w:r>
      <w:r w:rsidR="00E93ECA">
        <w:t xml:space="preserve"> Internal segments are only appropriately disaggregated when the internal segments are not either along the geographical lines or the product/service. However, segment reporting is helpful in defining the separately reported segments during the financial statements’ consolidation as IAS 14 states that segments must be disclosed separately if they are reportable. </w:t>
      </w:r>
    </w:p>
    <w:p w14:paraId="1FCF6AE7" w14:textId="46283106" w:rsidR="00E93ECA" w:rsidRDefault="00E93ECA" w:rsidP="00783F04">
      <w:pPr>
        <w:pStyle w:val="NormalWeb"/>
        <w:numPr>
          <w:ilvl w:val="0"/>
          <w:numId w:val="4"/>
        </w:numPr>
        <w:jc w:val="both"/>
        <w:rPr>
          <w:b/>
          <w:bCs/>
        </w:rPr>
      </w:pPr>
      <w:r w:rsidRPr="00E93ECA">
        <w:rPr>
          <w:b/>
          <w:bCs/>
        </w:rPr>
        <w:t>One of the processes used in identifying the segments to be reported separately</w:t>
      </w:r>
    </w:p>
    <w:p w14:paraId="0EED9052" w14:textId="1D579647" w:rsidR="00E93ECA" w:rsidRDefault="003922C6" w:rsidP="00783F04">
      <w:pPr>
        <w:pStyle w:val="NormalWeb"/>
        <w:jc w:val="both"/>
      </w:pPr>
      <w:r>
        <w:t xml:space="preserve">According to Hoyle &amp; Doupnik, (2015), segment reporting aims at providing information concerning the various business activities whereby an enterprise is engaged as well as the various economic environments whereby a business operates to help in using the financial statements. Therefore, operating segments meeting one or multiple quantitative thresholds need to be reported separately, involving an asset test, a revenue test, and a profit &amp; loss test. </w:t>
      </w:r>
    </w:p>
    <w:p w14:paraId="442CD1F9" w14:textId="0299C77A" w:rsidR="003922C6" w:rsidRPr="00225161" w:rsidRDefault="003922C6" w:rsidP="00783F04">
      <w:pPr>
        <w:pStyle w:val="NormalWeb"/>
        <w:numPr>
          <w:ilvl w:val="0"/>
          <w:numId w:val="4"/>
        </w:numPr>
        <w:jc w:val="both"/>
        <w:rPr>
          <w:b/>
        </w:rPr>
      </w:pPr>
      <w:r w:rsidRPr="00225161">
        <w:rPr>
          <w:b/>
        </w:rPr>
        <w:t>How the process is effective in supporting transparency in financial reporting</w:t>
      </w:r>
    </w:p>
    <w:p w14:paraId="60864047" w14:textId="2BB1F658" w:rsidR="003922C6" w:rsidRDefault="003922C6" w:rsidP="00783F04">
      <w:pPr>
        <w:pStyle w:val="NormalWeb"/>
        <w:jc w:val="both"/>
        <w:rPr>
          <w:bCs/>
        </w:rPr>
      </w:pPr>
      <w:r>
        <w:rPr>
          <w:bCs/>
        </w:rPr>
        <w:t>Studies show that financial statements transparency requires that all financial information is disclosed appropriately, in an easily understandable manner, and in a user-friendly way</w:t>
      </w:r>
      <w:r w:rsidR="00225161">
        <w:rPr>
          <w:bCs/>
        </w:rPr>
        <w:t xml:space="preserve"> (</w:t>
      </w:r>
      <w:r w:rsidR="00225161" w:rsidRPr="00127CCF">
        <w:rPr>
          <w:rFonts w:eastAsia="LiSong Pro Light"/>
        </w:rPr>
        <w:t>Hoyle,</w:t>
      </w:r>
      <w:r w:rsidR="00225161">
        <w:rPr>
          <w:rFonts w:eastAsia="LiSong Pro Light"/>
        </w:rPr>
        <w:t xml:space="preserve"> </w:t>
      </w:r>
      <w:r w:rsidR="00225161" w:rsidRPr="00127CCF">
        <w:rPr>
          <w:rFonts w:eastAsia="LiSong Pro Light"/>
        </w:rPr>
        <w:t>Schaefer,</w:t>
      </w:r>
      <w:r w:rsidR="00225161">
        <w:rPr>
          <w:rFonts w:eastAsia="LiSong Pro Light"/>
        </w:rPr>
        <w:t xml:space="preserve"> </w:t>
      </w:r>
      <w:r w:rsidR="00225161" w:rsidRPr="00127CCF">
        <w:rPr>
          <w:rFonts w:eastAsia="LiSong Pro Light"/>
        </w:rPr>
        <w:t>&amp; Doupnik,</w:t>
      </w:r>
      <w:r w:rsidR="00225161">
        <w:rPr>
          <w:rFonts w:eastAsia="LiSong Pro Light"/>
        </w:rPr>
        <w:t xml:space="preserve"> </w:t>
      </w:r>
      <w:r w:rsidR="00225161" w:rsidRPr="00127CCF">
        <w:rPr>
          <w:rFonts w:eastAsia="LiSong Pro Light"/>
        </w:rPr>
        <w:t>2015).</w:t>
      </w:r>
      <w:r w:rsidR="00225161">
        <w:rPr>
          <w:rFonts w:eastAsia="LiSong Pro Light"/>
        </w:rPr>
        <w:t xml:space="preserve"> </w:t>
      </w:r>
      <w:r>
        <w:rPr>
          <w:bCs/>
        </w:rPr>
        <w:t xml:space="preserve"> Therefore, segment reporting offers information concerning the various business activities in a simpler way and provides </w:t>
      </w:r>
      <w:r w:rsidR="00225161">
        <w:rPr>
          <w:bCs/>
        </w:rPr>
        <w:t>a</w:t>
      </w:r>
      <w:r>
        <w:rPr>
          <w:bCs/>
        </w:rPr>
        <w:t xml:space="preserve"> breakdown of the various business activities because investors, analysts, and stakeholders have to understand, evaluate, and </w:t>
      </w:r>
      <w:r w:rsidR="00225161">
        <w:rPr>
          <w:bCs/>
        </w:rPr>
        <w:t xml:space="preserve">monitor the financial well-being of their firms. </w:t>
      </w:r>
    </w:p>
    <w:p w14:paraId="0F6303FF" w14:textId="36D1AB63" w:rsidR="00225161" w:rsidRPr="00783F04" w:rsidRDefault="00225161" w:rsidP="00783F04">
      <w:pPr>
        <w:pStyle w:val="NormalWeb"/>
        <w:numPr>
          <w:ilvl w:val="0"/>
          <w:numId w:val="4"/>
        </w:numPr>
        <w:jc w:val="both"/>
        <w:rPr>
          <w:b/>
        </w:rPr>
      </w:pPr>
      <w:r w:rsidRPr="00783F04">
        <w:rPr>
          <w:b/>
        </w:rPr>
        <w:t>Suggestions to improve this process in an effort to sustain transparency</w:t>
      </w:r>
    </w:p>
    <w:p w14:paraId="24A8D4BA" w14:textId="5D475F2D" w:rsidR="00225161" w:rsidRDefault="00225161" w:rsidP="00783F04">
      <w:pPr>
        <w:pStyle w:val="NormalWeb"/>
        <w:jc w:val="both"/>
        <w:rPr>
          <w:bCs/>
        </w:rPr>
      </w:pPr>
      <w:r>
        <w:rPr>
          <w:bCs/>
        </w:rPr>
        <w:t>Improving such a process calls for firms to provide helpful segment information to help the users in making appropriate assessments and evaluations of the firm’s earning potential to determine its overall financial positions. Also, provision of foreign operations rather than foreign sales only can help in a sustained financial reporting transparency (</w:t>
      </w:r>
      <w:r w:rsidRPr="00127CCF">
        <w:rPr>
          <w:rFonts w:eastAsia="LiSong Pro Light"/>
        </w:rPr>
        <w:t>Hoyle,</w:t>
      </w:r>
      <w:r>
        <w:rPr>
          <w:rFonts w:eastAsia="LiSong Pro Light"/>
        </w:rPr>
        <w:t xml:space="preserve"> </w:t>
      </w:r>
      <w:r w:rsidRPr="00127CCF">
        <w:rPr>
          <w:rFonts w:eastAsia="LiSong Pro Light"/>
        </w:rPr>
        <w:t>Schaefer,</w:t>
      </w:r>
      <w:r>
        <w:rPr>
          <w:rFonts w:eastAsia="LiSong Pro Light"/>
        </w:rPr>
        <w:t xml:space="preserve"> </w:t>
      </w:r>
      <w:r w:rsidRPr="00127CCF">
        <w:rPr>
          <w:rFonts w:eastAsia="LiSong Pro Light"/>
        </w:rPr>
        <w:t>&amp; Doupnik,</w:t>
      </w:r>
      <w:r>
        <w:rPr>
          <w:rFonts w:eastAsia="LiSong Pro Light"/>
        </w:rPr>
        <w:t xml:space="preserve"> </w:t>
      </w:r>
      <w:r w:rsidRPr="00127CCF">
        <w:rPr>
          <w:rFonts w:eastAsia="LiSong Pro Light"/>
        </w:rPr>
        <w:t>2015).</w:t>
      </w:r>
      <w:r>
        <w:rPr>
          <w:rFonts w:eastAsia="LiSong Pro Light"/>
        </w:rPr>
        <w:t xml:space="preserve"> </w:t>
      </w:r>
    </w:p>
    <w:p w14:paraId="1DA7C3B3" w14:textId="77777777" w:rsidR="00783F04" w:rsidRDefault="00783F04" w:rsidP="00225161">
      <w:pPr>
        <w:pStyle w:val="NormalWeb"/>
        <w:jc w:val="center"/>
        <w:rPr>
          <w:b/>
        </w:rPr>
      </w:pPr>
    </w:p>
    <w:p w14:paraId="7AEEA2EA" w14:textId="77777777" w:rsidR="00783F04" w:rsidRDefault="00783F04" w:rsidP="00225161">
      <w:pPr>
        <w:pStyle w:val="NormalWeb"/>
        <w:jc w:val="center"/>
        <w:rPr>
          <w:b/>
        </w:rPr>
      </w:pPr>
    </w:p>
    <w:p w14:paraId="2E9DED3A" w14:textId="77777777" w:rsidR="00783F04" w:rsidRDefault="00783F04" w:rsidP="00225161">
      <w:pPr>
        <w:pStyle w:val="NormalWeb"/>
        <w:jc w:val="center"/>
        <w:rPr>
          <w:b/>
        </w:rPr>
      </w:pPr>
    </w:p>
    <w:p w14:paraId="25973FF0" w14:textId="77777777" w:rsidR="00783F04" w:rsidRDefault="00783F04" w:rsidP="00225161">
      <w:pPr>
        <w:pStyle w:val="NormalWeb"/>
        <w:jc w:val="center"/>
        <w:rPr>
          <w:b/>
        </w:rPr>
      </w:pPr>
    </w:p>
    <w:p w14:paraId="639E4111" w14:textId="77777777" w:rsidR="00783F04" w:rsidRDefault="00783F04" w:rsidP="00225161">
      <w:pPr>
        <w:pStyle w:val="NormalWeb"/>
        <w:jc w:val="center"/>
        <w:rPr>
          <w:b/>
        </w:rPr>
      </w:pPr>
    </w:p>
    <w:p w14:paraId="4836B685" w14:textId="367C8F9D" w:rsidR="00225161" w:rsidRDefault="00225161" w:rsidP="00225161">
      <w:pPr>
        <w:pStyle w:val="NormalWeb"/>
        <w:jc w:val="center"/>
        <w:rPr>
          <w:b/>
        </w:rPr>
      </w:pPr>
      <w:r w:rsidRPr="00225161">
        <w:rPr>
          <w:b/>
        </w:rPr>
        <w:lastRenderedPageBreak/>
        <w:t>References</w:t>
      </w:r>
    </w:p>
    <w:p w14:paraId="267A2854" w14:textId="77777777" w:rsidR="00225161" w:rsidRPr="00127CCF" w:rsidRDefault="00225161" w:rsidP="00783F04">
      <w:pPr>
        <w:spacing w:line="240" w:lineRule="auto"/>
        <w:rPr>
          <w:rFonts w:ascii="Times New Roman" w:hAnsi="Times New Roman" w:cs="Times New Roman"/>
        </w:rPr>
      </w:pPr>
      <w:r w:rsidRPr="00127CCF">
        <w:rPr>
          <w:rFonts w:ascii="Times New Roman" w:hAnsi="Times New Roman" w:cs="Times New Roman"/>
        </w:rPr>
        <w:t xml:space="preserve">Bragg S. (30 Mar 2011). </w:t>
      </w:r>
      <w:r w:rsidRPr="00127CCF">
        <w:rPr>
          <w:rFonts w:ascii="Times New Roman" w:hAnsi="Times New Roman" w:cs="Times New Roman"/>
          <w:i/>
        </w:rPr>
        <w:t xml:space="preserve">What is interim reporting? </w:t>
      </w:r>
      <w:r w:rsidRPr="00127CCF">
        <w:rPr>
          <w:rFonts w:ascii="Times New Roman" w:hAnsi="Times New Roman" w:cs="Times New Roman"/>
        </w:rPr>
        <w:t xml:space="preserve">Retrieved from </w:t>
      </w:r>
    </w:p>
    <w:p w14:paraId="3769EE04" w14:textId="77777777" w:rsidR="00225161" w:rsidRPr="00127CCF" w:rsidRDefault="00225161" w:rsidP="00783F04">
      <w:pPr>
        <w:spacing w:line="240" w:lineRule="auto"/>
        <w:ind w:firstLine="720"/>
        <w:rPr>
          <w:rFonts w:ascii="Times New Roman" w:hAnsi="Times New Roman" w:cs="Times New Roman"/>
        </w:rPr>
      </w:pPr>
      <w:r w:rsidRPr="00127CCF">
        <w:rPr>
          <w:rFonts w:ascii="Times New Roman" w:hAnsi="Times New Roman" w:cs="Times New Roman"/>
        </w:rPr>
        <w:t>http://www.accountingtools.com/questions-and-answers/what-is-interim-reporting.html</w:t>
      </w:r>
    </w:p>
    <w:p w14:paraId="6523F178" w14:textId="77777777" w:rsidR="00225161" w:rsidRPr="00127CCF" w:rsidRDefault="00225161" w:rsidP="00783F04">
      <w:pPr>
        <w:spacing w:line="240" w:lineRule="auto"/>
        <w:rPr>
          <w:rFonts w:ascii="Times New Roman" w:eastAsia="LiSong Pro Light" w:hAnsi="Times New Roman" w:cs="Times New Roman"/>
        </w:rPr>
      </w:pPr>
      <w:r w:rsidRPr="00127CCF">
        <w:rPr>
          <w:rFonts w:ascii="Times New Roman" w:eastAsia="LiSong Pro Light" w:hAnsi="Times New Roman" w:cs="Times New Roman"/>
        </w:rPr>
        <w:t xml:space="preserve">Hoyle, J., Schaefer, T., &amp; Doupnik, T. (2015). </w:t>
      </w:r>
      <w:r w:rsidRPr="00127CCF">
        <w:rPr>
          <w:rFonts w:ascii="Times New Roman" w:eastAsia="LiSong Pro Light" w:hAnsi="Times New Roman" w:cs="Times New Roman"/>
          <w:i/>
        </w:rPr>
        <w:t xml:space="preserve">Advanced Accounting. </w:t>
      </w:r>
      <w:r w:rsidRPr="00127CCF">
        <w:rPr>
          <w:rFonts w:ascii="Times New Roman" w:eastAsia="LiSong Pro Light" w:hAnsi="Times New Roman" w:cs="Times New Roman"/>
        </w:rPr>
        <w:t>New York, NY: McGraw-</w:t>
      </w:r>
    </w:p>
    <w:p w14:paraId="2EF374F1" w14:textId="77777777" w:rsidR="00225161" w:rsidRPr="00127CCF" w:rsidRDefault="00225161" w:rsidP="00783F04">
      <w:pPr>
        <w:spacing w:line="240" w:lineRule="auto"/>
        <w:ind w:firstLine="720"/>
        <w:rPr>
          <w:rFonts w:ascii="Times New Roman" w:eastAsia="LiSong Pro Light" w:hAnsi="Times New Roman" w:cs="Times New Roman"/>
        </w:rPr>
      </w:pPr>
      <w:r w:rsidRPr="00127CCF">
        <w:rPr>
          <w:rFonts w:ascii="Times New Roman" w:eastAsia="LiSong Pro Light" w:hAnsi="Times New Roman" w:cs="Times New Roman"/>
        </w:rPr>
        <w:t xml:space="preserve">Hill Education. </w:t>
      </w:r>
    </w:p>
    <w:p w14:paraId="69F341D9" w14:textId="77777777" w:rsidR="00225161" w:rsidRPr="00127CCF" w:rsidRDefault="00225161" w:rsidP="00783F04">
      <w:pPr>
        <w:spacing w:line="240" w:lineRule="auto"/>
        <w:rPr>
          <w:rFonts w:ascii="Times New Roman" w:hAnsi="Times New Roman" w:cs="Times New Roman"/>
        </w:rPr>
      </w:pPr>
      <w:r w:rsidRPr="00127CCF">
        <w:rPr>
          <w:rFonts w:ascii="Times New Roman" w:hAnsi="Times New Roman" w:cs="Times New Roman"/>
          <w:i/>
        </w:rPr>
        <w:t xml:space="preserve">U.S. GAAP VS. IFRS: Interim Reporting At-A-Glance. </w:t>
      </w:r>
      <w:r w:rsidRPr="00127CCF">
        <w:rPr>
          <w:rFonts w:ascii="Times New Roman" w:hAnsi="Times New Roman" w:cs="Times New Roman"/>
        </w:rPr>
        <w:t xml:space="preserve">(Dec 2012). Retrieved from </w:t>
      </w:r>
    </w:p>
    <w:p w14:paraId="34322076" w14:textId="77777777" w:rsidR="00225161" w:rsidRPr="00127CCF" w:rsidRDefault="00225161" w:rsidP="00783F04">
      <w:pPr>
        <w:spacing w:line="240" w:lineRule="auto"/>
        <w:ind w:firstLine="720"/>
        <w:rPr>
          <w:rFonts w:ascii="Times New Roman" w:hAnsi="Times New Roman" w:cs="Times New Roman"/>
        </w:rPr>
      </w:pPr>
      <w:r w:rsidRPr="00127CCF">
        <w:rPr>
          <w:rFonts w:ascii="Times New Roman" w:hAnsi="Times New Roman" w:cs="Times New Roman"/>
        </w:rPr>
        <w:t>http://rsmus.com/pdf/us_gaap_ifrs_interim_reporting.pdf</w:t>
      </w:r>
    </w:p>
    <w:p w14:paraId="3D96CFAC" w14:textId="77777777" w:rsidR="00166390" w:rsidRPr="0045751B" w:rsidRDefault="00166390" w:rsidP="00166390">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NB: Kindly remember to delete this part before you submit</w:t>
      </w:r>
    </w:p>
    <w:p w14:paraId="5DA9DD10" w14:textId="77777777" w:rsidR="00166390" w:rsidRPr="0045751B" w:rsidRDefault="00166390" w:rsidP="00166390">
      <w:pPr>
        <w:autoSpaceDE w:val="0"/>
        <w:autoSpaceDN w:val="0"/>
        <w:adjustRightInd w:val="0"/>
        <w:spacing w:after="0" w:line="240" w:lineRule="auto"/>
        <w:jc w:val="both"/>
        <w:rPr>
          <w:rFonts w:ascii="Times New Roman" w:hAnsi="Times New Roman" w:cs="Times New Roman"/>
          <w:b/>
          <w:bCs/>
        </w:rPr>
      </w:pPr>
      <w:r w:rsidRPr="0045751B">
        <w:rPr>
          <w:rFonts w:ascii="Times New Roman" w:hAnsi="Times New Roman" w:cs="Times New Roman"/>
          <w:b/>
          <w:bCs/>
        </w:rPr>
        <w:t>Hello friend. First of all, I want to thank you so much for being patient with me and trusting my services. However, you can reach me through this mail (</w:t>
      </w:r>
      <w:hyperlink r:id="rId7" w:history="1">
        <w:r w:rsidRPr="003F0505">
          <w:rPr>
            <w:rStyle w:val="Hyperlink"/>
            <w:rFonts w:ascii="Times New Roman" w:hAnsi="Times New Roman" w:cs="Times New Roman"/>
            <w:b/>
            <w:bCs/>
          </w:rPr>
          <w:t>davykikuvi774@gmail.com</w:t>
        </w:r>
      </w:hyperlink>
      <w:r w:rsidRPr="0045751B">
        <w:rPr>
          <w:rFonts w:ascii="Times New Roman" w:hAnsi="Times New Roman" w:cs="Times New Roman"/>
          <w:b/>
          <w:bCs/>
        </w:rPr>
        <w:t xml:space="preserve">) for more work in future if you do not mind. Again, feel free to add me a bonus if you do not mind since the work was so heavy and complex and also let me know in case you have any question or correction. I will be at your service. Lastly, remember to release the funds on time (including a bonus) and leave a 10-star rating. I will really appreciate. Thanks a lot. </w:t>
      </w:r>
    </w:p>
    <w:p w14:paraId="73A9AFBA" w14:textId="1C005E1C" w:rsidR="00750258" w:rsidRPr="00E37682" w:rsidRDefault="00750258" w:rsidP="00E37682">
      <w:pPr>
        <w:rPr>
          <w:rFonts w:ascii="Times New Roman" w:hAnsi="Times New Roman" w:cs="Times New Roman"/>
        </w:rPr>
      </w:pPr>
    </w:p>
    <w:sectPr w:rsidR="00750258" w:rsidRPr="00E37682" w:rsidSect="00783F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3DA7B2" w14:textId="77777777" w:rsidR="007B068C" w:rsidRDefault="007B068C" w:rsidP="00225161">
      <w:pPr>
        <w:spacing w:after="0" w:line="240" w:lineRule="auto"/>
      </w:pPr>
      <w:r>
        <w:separator/>
      </w:r>
    </w:p>
  </w:endnote>
  <w:endnote w:type="continuationSeparator" w:id="0">
    <w:p w14:paraId="431B9326" w14:textId="77777777" w:rsidR="007B068C" w:rsidRDefault="007B068C" w:rsidP="00225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Song Pro Light">
    <w:charset w:val="88"/>
    <w:family w:val="auto"/>
    <w:pitch w:val="variable"/>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2EEF9E" w14:textId="77777777" w:rsidR="007B068C" w:rsidRDefault="007B068C" w:rsidP="00225161">
      <w:pPr>
        <w:spacing w:after="0" w:line="240" w:lineRule="auto"/>
      </w:pPr>
      <w:r>
        <w:separator/>
      </w:r>
    </w:p>
  </w:footnote>
  <w:footnote w:type="continuationSeparator" w:id="0">
    <w:p w14:paraId="642C943B" w14:textId="77777777" w:rsidR="007B068C" w:rsidRDefault="007B068C" w:rsidP="00225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C8169" w14:textId="63215DA4" w:rsidR="00225161" w:rsidRPr="00783F04" w:rsidRDefault="00225161">
    <w:pPr>
      <w:pStyle w:val="Header"/>
      <w:jc w:val="right"/>
      <w:rPr>
        <w:rFonts w:ascii="Times New Roman" w:hAnsi="Times New Roman" w:cs="Times New Roman"/>
      </w:rPr>
    </w:pPr>
    <w:r w:rsidRPr="00783F04">
      <w:rPr>
        <w:rFonts w:ascii="Times New Roman" w:hAnsi="Times New Roman" w:cs="Times New Roman"/>
      </w:rPr>
      <w:t xml:space="preserve">Accounting </w:t>
    </w:r>
    <w:r w:rsidR="00783F04" w:rsidRPr="00783F04">
      <w:rPr>
        <w:rFonts w:ascii="Times New Roman" w:hAnsi="Times New Roman" w:cs="Times New Roman"/>
      </w:rPr>
      <w:t>690 Milestone Two</w:t>
    </w:r>
    <w:r w:rsidR="00783F04" w:rsidRPr="00783F04">
      <w:rPr>
        <w:rFonts w:ascii="Times New Roman" w:hAnsi="Times New Roman" w:cs="Times New Roman"/>
      </w:rPr>
      <w:tab/>
    </w:r>
    <w:r w:rsidR="00783F04" w:rsidRPr="00783F04">
      <w:rPr>
        <w:rFonts w:ascii="Times New Roman" w:hAnsi="Times New Roman" w:cs="Times New Roman"/>
      </w:rPr>
      <w:tab/>
    </w:r>
    <w:sdt>
      <w:sdtPr>
        <w:rPr>
          <w:rFonts w:ascii="Times New Roman" w:hAnsi="Times New Roman" w:cs="Times New Roman"/>
        </w:rPr>
        <w:id w:val="-1826195084"/>
        <w:docPartObj>
          <w:docPartGallery w:val="Page Numbers (Top of Page)"/>
          <w:docPartUnique/>
        </w:docPartObj>
      </w:sdtPr>
      <w:sdtEndPr>
        <w:rPr>
          <w:noProof/>
        </w:rPr>
      </w:sdtEndPr>
      <w:sdtContent>
        <w:r w:rsidRPr="00783F04">
          <w:rPr>
            <w:rFonts w:ascii="Times New Roman" w:hAnsi="Times New Roman" w:cs="Times New Roman"/>
          </w:rPr>
          <w:fldChar w:fldCharType="begin"/>
        </w:r>
        <w:r w:rsidRPr="00783F04">
          <w:rPr>
            <w:rFonts w:ascii="Times New Roman" w:hAnsi="Times New Roman" w:cs="Times New Roman"/>
          </w:rPr>
          <w:instrText xml:space="preserve"> PAGE   \* MERGEFORMAT </w:instrText>
        </w:r>
        <w:r w:rsidRPr="00783F04">
          <w:rPr>
            <w:rFonts w:ascii="Times New Roman" w:hAnsi="Times New Roman" w:cs="Times New Roman"/>
          </w:rPr>
          <w:fldChar w:fldCharType="separate"/>
        </w:r>
        <w:r w:rsidRPr="00783F04">
          <w:rPr>
            <w:rFonts w:ascii="Times New Roman" w:hAnsi="Times New Roman" w:cs="Times New Roman"/>
            <w:noProof/>
          </w:rPr>
          <w:t>2</w:t>
        </w:r>
        <w:r w:rsidRPr="00783F04">
          <w:rPr>
            <w:rFonts w:ascii="Times New Roman" w:hAnsi="Times New Roman" w:cs="Times New Roman"/>
            <w:noProof/>
          </w:rPr>
          <w:fldChar w:fldCharType="end"/>
        </w:r>
      </w:sdtContent>
    </w:sdt>
  </w:p>
  <w:p w14:paraId="6A3803B7" w14:textId="77777777" w:rsidR="00225161" w:rsidRDefault="00225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F6649C" w14:textId="1AB1121D" w:rsidR="00225161" w:rsidRPr="00783F04" w:rsidRDefault="00783F04">
    <w:pPr>
      <w:pStyle w:val="Header"/>
      <w:rPr>
        <w:rFonts w:ascii="Times New Roman" w:hAnsi="Times New Roman" w:cs="Times New Roman"/>
      </w:rPr>
    </w:pPr>
    <w:r w:rsidRPr="00783F04">
      <w:rPr>
        <w:rFonts w:ascii="Times New Roman" w:hAnsi="Times New Roman" w:cs="Times New Roman"/>
      </w:rPr>
      <w:t>Running head: Accounting 690 Milestone Two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E90555"/>
    <w:multiLevelType w:val="hybridMultilevel"/>
    <w:tmpl w:val="3154BD78"/>
    <w:lvl w:ilvl="0" w:tplc="04090015">
      <w:start w:val="2"/>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03905DB"/>
    <w:multiLevelType w:val="hybridMultilevel"/>
    <w:tmpl w:val="E74836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52656A5"/>
    <w:multiLevelType w:val="hybridMultilevel"/>
    <w:tmpl w:val="8DEE60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9F55C3E"/>
    <w:multiLevelType w:val="hybridMultilevel"/>
    <w:tmpl w:val="0F2C4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258"/>
    <w:rsid w:val="0015335A"/>
    <w:rsid w:val="00166390"/>
    <w:rsid w:val="00225161"/>
    <w:rsid w:val="00362A8E"/>
    <w:rsid w:val="003922C6"/>
    <w:rsid w:val="003D7343"/>
    <w:rsid w:val="005167EB"/>
    <w:rsid w:val="006A0F99"/>
    <w:rsid w:val="00750258"/>
    <w:rsid w:val="00783F04"/>
    <w:rsid w:val="007B068C"/>
    <w:rsid w:val="009D6F9B"/>
    <w:rsid w:val="00CD49F8"/>
    <w:rsid w:val="00D30906"/>
    <w:rsid w:val="00D344A1"/>
    <w:rsid w:val="00E37682"/>
    <w:rsid w:val="00E93ECA"/>
    <w:rsid w:val="00F95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0D981"/>
  <w15:chartTrackingRefBased/>
  <w15:docId w15:val="{87937CD6-9B36-4B87-B915-71FE06985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682"/>
    <w:pPr>
      <w:ind w:left="720"/>
      <w:contextualSpacing/>
    </w:pPr>
  </w:style>
  <w:style w:type="paragraph" w:styleId="NormalWeb">
    <w:name w:val="Normal (Web)"/>
    <w:basedOn w:val="Normal"/>
    <w:uiPriority w:val="99"/>
    <w:semiHidden/>
    <w:unhideWhenUsed/>
    <w:rsid w:val="00E37682"/>
    <w:pPr>
      <w:spacing w:before="100" w:beforeAutospacing="1" w:after="100" w:afterAutospacing="1" w:line="240" w:lineRule="auto"/>
    </w:pPr>
    <w:rPr>
      <w:rFonts w:ascii="Times New Roman" w:hAnsi="Times New Roman" w:cs="Times New Roman"/>
      <w:sz w:val="24"/>
      <w:szCs w:val="24"/>
    </w:rPr>
  </w:style>
  <w:style w:type="paragraph" w:styleId="Header">
    <w:name w:val="header"/>
    <w:basedOn w:val="Normal"/>
    <w:link w:val="HeaderChar"/>
    <w:uiPriority w:val="99"/>
    <w:unhideWhenUsed/>
    <w:rsid w:val="002251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5161"/>
  </w:style>
  <w:style w:type="paragraph" w:styleId="Footer">
    <w:name w:val="footer"/>
    <w:basedOn w:val="Normal"/>
    <w:link w:val="FooterChar"/>
    <w:uiPriority w:val="99"/>
    <w:unhideWhenUsed/>
    <w:rsid w:val="002251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5161"/>
  </w:style>
  <w:style w:type="character" w:styleId="Hyperlink">
    <w:name w:val="Hyperlink"/>
    <w:basedOn w:val="DefaultParagraphFont"/>
    <w:uiPriority w:val="99"/>
    <w:unhideWhenUsed/>
    <w:rsid w:val="0016639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vykikuvi77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4</Pages>
  <Words>1037</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Sam</cp:lastModifiedBy>
  <cp:revision>7</cp:revision>
  <dcterms:created xsi:type="dcterms:W3CDTF">2021-01-08T19:17:00Z</dcterms:created>
  <dcterms:modified xsi:type="dcterms:W3CDTF">2021-01-10T18:52:00Z</dcterms:modified>
</cp:coreProperties>
</file>